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3CF59">
      <w:pPr>
        <w:rPr>
          <w:rFonts w:hint="eastAsia" w:ascii="仿宋" w:hAnsi="仿宋" w:eastAsia="仿宋"/>
          <w:sz w:val="24"/>
          <w:szCs w:val="24"/>
        </w:rPr>
      </w:pPr>
    </w:p>
    <w:p w14:paraId="04F64F18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78450350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A9D0BBA">
      <w:pPr>
        <w:rPr>
          <w:rFonts w:hint="eastAsia" w:ascii="仿宋" w:hAnsi="仿宋" w:eastAsia="仿宋"/>
          <w:sz w:val="28"/>
          <w:szCs w:val="28"/>
        </w:rPr>
      </w:pPr>
    </w:p>
    <w:p w14:paraId="45D7953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3043</w:t>
      </w:r>
    </w:p>
    <w:p w14:paraId="7A836299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分析化学前沿领域</w:t>
      </w:r>
    </w:p>
    <w:p w14:paraId="1D6A73B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17E59E6E">
      <w:pPr>
        <w:widowControl/>
        <w:spacing w:line="360" w:lineRule="auto"/>
        <w:jc w:val="left"/>
        <w:outlineLvl w:val="1"/>
        <w:rPr>
          <w:rStyle w:val="14"/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1.  分析化学已发展到分析科学阶段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§1.1  分析化学研究什么特殊矛盾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§1.2  分析化学三要素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§1.3  分析化学的发展规律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§1.4  分析化学已经发展到分析科学阶段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2.  21世纪分析化学展望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§2.1  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§2.2  仪器分析和分析科学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§2.3  现代分析化学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§2.4  21世纪社会和科技发展都需要分析化学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§2.5  21世纪分析化学展望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3.  分析化学的信息与化学计量学的发展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§3.1  科学技术发展的信息化趋势：分析化学与化学计量学的关系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§3.2  采样、试验设计与优化——获取化学信息的起点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§3.3  化学量测数据的校正与分辨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§3.4  化学计量学方法的稳健化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§3.5  人工神经网络等用于非线性校正、化学模式识别及构效关系等研究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§3.6  化学计量学教学及其它</w:t>
      </w:r>
    </w:p>
    <w:p w14:paraId="5EFB93DD">
      <w:pPr>
        <w:widowControl/>
        <w:spacing w:line="360" w:lineRule="auto"/>
        <w:jc w:val="left"/>
        <w:outlineLvl w:val="1"/>
        <w:rPr>
          <w:rStyle w:val="14"/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4.  展望21世纪的分析科学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§4.1  总目标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§4.2  灵敏度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§4.3  检测原理、技术及分析仪器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5.  原子光谱分析法的最新进展和发展趋势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§5.1  辐射源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§5.2  激发光源、原子化器和离子化源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§5.3  波长选择系统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§5.4  检测系统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§5.5  质量分析器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§5.6  样品引入系统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§5.7  原子光谱法的发展趋势</w:t>
      </w:r>
    </w:p>
    <w:p w14:paraId="74645E13">
      <w:pPr>
        <w:widowControl/>
        <w:spacing w:line="360" w:lineRule="auto"/>
        <w:jc w:val="left"/>
        <w:outlineLvl w:val="1"/>
        <w:rPr>
          <w:rStyle w:val="14"/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 xml:space="preserve">6.  近代电分析化学的发展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§6.1  电分析化学方法的进展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§6.2  交叉学科联用技术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§6.3  在生命科学中的研究与应用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7.  面临新世纪的流动分析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§7.1  作为高效引入及处理手段的流动分析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§7.2  作为联用界面(接口)的流动分析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§7.3  流动分析的微型化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§7.4  可更新反应表面的流动分析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§7.5  过程监测流动分析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§7.6  流动分析教学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8.  激光分析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§8.1  激光拉曼光谱分析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§8.2  激光诱导荧光光谱分析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§8.3  激光光声光谱分析和激光光热光谱分析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§8.4  激光电离光谱分析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§8.5  其它激光分析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9.  现代近红外光谱分析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§9.1  近红外光谱分析的发展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§9.2  近红外光谱的产生、测定原理及特点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§9.3  近红外光谱仪器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§9.4  近红外光谱定性、定理方法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§9.5  现代近红外光谱分析的应用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10.  紫外-可见分光光度分析的现状和展望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§10.1  试剂和反应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§10.2  分析和分离技术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§10.3  信号及数据处理技术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§10.4  光度分析装置和仪器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11. 毛细管电泳展望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§11.1  毛细管电泳的兴起与发展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§11.2  毛细管电泳基本原理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§11.3  毛细管电泳分离模式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§11.4  毛细管电泳柱技术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§11.5  毛细管电泳检测技术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§11.6  毛细管电泳的一些发展动向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§11.7  21世纪毛细管电泳发展趋势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12.  生物质谱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多肽和蛋白质质谱分析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hint="eastAsia" w:ascii="宋体" w:hAnsi="宋体" w:eastAsia="宋体" w:cs="宋体"/>
          <w:sz w:val="24"/>
          <w:szCs w:val="24"/>
        </w:rPr>
        <w:t>核酸质谱分析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糖类质谱分析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13.  复杂样品的分离分析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§13.1  复杂样品分析的基本思路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§13.2  复杂样品组成的多模式多柱色谱及联用技术的综合分离分析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§13.3  复杂样品分析的理论基础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§13.4  在中药一控制中的应用</w:t>
      </w:r>
    </w:p>
    <w:p w14:paraId="4979E21B">
      <w:pPr>
        <w:widowControl/>
        <w:spacing w:line="360" w:lineRule="auto"/>
        <w:jc w:val="left"/>
        <w:outlineLvl w:val="1"/>
        <w:rPr>
          <w:rStyle w:val="14"/>
          <w:rFonts w:hint="eastAsia"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14.  人类基因组和脱氧核糖核酸序列分析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人类基因组研究对DNA测序要求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DNA序列分析进展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4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医学应用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15.  生命科学与电分析化学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§15.1  卟啉、金属卟啉的电化学分析研究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§15.2  生物自组装膜的模拟和电化学行为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§15.3  酶催化功能和微金属元素的作用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16.  超分子电分析化学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§16.1  超分子化学的基本性质</w:t>
      </w:r>
    </w:p>
    <w:p w14:paraId="63E41287">
      <w:pPr>
        <w:widowControl/>
        <w:spacing w:line="360" w:lineRule="auto"/>
        <w:jc w:val="left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§16.2  超分子分析化学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§16.3  超分子电分析化学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17.  细胞生物电化学分析研究进展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§17.1  细胞电化学分析基本原理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§17.2  细胞与染料分子之间的能量传递及其在生化分析中的应用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§17.3  细胞介电行为及其在生化分析中的应用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§17.4  细胞电化学阻抗行为及其在生化分析中的应用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§17.5  细胞电化学氧化行为及其在生化分析中的应用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§17.6  细胞光电化学行为及其在生化分析中的应用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§17.7  电磁场作用下的细胞生物、生理行为分析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18.  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§18.1  生物传感器研究动态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§18.2  生物传感器原理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§18.3  生物传感器分类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§18.4  结语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19.  光导纤维生物传感器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§19.1  光导纤维生物传感器的结构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§19.2  光导纤维生物传感器的分类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20.  压电化学与生物传感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§20.1  传感原理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§20.2  血液流变学压电传感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§20.3  嗅敏与其它仿生传感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§20.4  酶、免疫与其它生物传感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§20.5  压电传感器用于物理化学过程研究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§20.6  压电液相化学分析技术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§20.7  发展展望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21.  生物传感器在军事医学中的发展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§21.1  生物传感器的原理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§21.2  酶传感器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§21.3  抗体和受体传感器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§21.4  基因传感器与基因芯片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22.  小分子发光免疫分析及其进展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§22.1  抗原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§22.2  抗体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§22.3  抗原-抗体反应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§22.4  非标记免疫分析和标记免疫分析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§22.5  免疫分析的热点和趋势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23.  生物分析化学中新试剂的进展与展望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§23.1  大环化合物超分子分析试剂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§23.2  非大环的试剂的探针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§23.3  酶法分析试剂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§23.4  免疫分析试剂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§23.5  其它试剂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24.  药物分析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§24.1  药典与分析方法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§24.2  新药研究与开发中的药物分析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§24.3  药物分析方法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§24.4  药物代谢研究中的分析工作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§24.5  手性药物的分离分析方法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25.  环境分析化学发展趋势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§25.1  环境分析样品前处理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§25.2  各种色谱技术的进展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§25.3  光谱、质谱和其它方面的进展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§25.4  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§25.5  与生物学科的结合促进环境分析化学的发展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§25.6  计算机的推广应用促进环境分析化学发展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§25.7  环境分析化学的质量保证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26. 熔融金属成分直接分析现状及展望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§26.1  浸入(熔体)式探头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§26.2  熔体直接激发光谱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§26.3  试样引出-等离子体光谱法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27.  环糊精及其衍生物作为分析增效试剂的发展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§27.1  理论研究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§27.2  衍生物的制备及问题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§27.3  用于分析的增效试剂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§27.4  两大热点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§27.5  用于CE的环糊精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§27.6  对映体分离原理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§27.7  CE的模式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</w:p>
    <w:p w14:paraId="3FA7B463"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7311B49-61C1-4466-A66D-964A2BA84A0F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C576B66B-9670-431E-8BDD-15F6E9CF8FD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002794"/>
    <w:rsid w:val="000556E8"/>
    <w:rsid w:val="000A3030"/>
    <w:rsid w:val="00110BC3"/>
    <w:rsid w:val="001B25C3"/>
    <w:rsid w:val="002B3F51"/>
    <w:rsid w:val="00327097"/>
    <w:rsid w:val="00340A29"/>
    <w:rsid w:val="0037208B"/>
    <w:rsid w:val="003C11B4"/>
    <w:rsid w:val="003F18C2"/>
    <w:rsid w:val="00446F33"/>
    <w:rsid w:val="00481CF3"/>
    <w:rsid w:val="00493EBC"/>
    <w:rsid w:val="00514268"/>
    <w:rsid w:val="00540EBF"/>
    <w:rsid w:val="00581169"/>
    <w:rsid w:val="005A17F1"/>
    <w:rsid w:val="005D54AA"/>
    <w:rsid w:val="00614DD4"/>
    <w:rsid w:val="00735ADE"/>
    <w:rsid w:val="008B16D2"/>
    <w:rsid w:val="008C7956"/>
    <w:rsid w:val="0094308B"/>
    <w:rsid w:val="009A604C"/>
    <w:rsid w:val="009E34F0"/>
    <w:rsid w:val="009F51B1"/>
    <w:rsid w:val="00AE4C4F"/>
    <w:rsid w:val="00BC7128"/>
    <w:rsid w:val="00C61048"/>
    <w:rsid w:val="00DB392C"/>
    <w:rsid w:val="00DB5531"/>
    <w:rsid w:val="00DF1D30"/>
    <w:rsid w:val="00F431FE"/>
    <w:rsid w:val="00F56B21"/>
    <w:rsid w:val="00F82C70"/>
    <w:rsid w:val="0AF26F94"/>
    <w:rsid w:val="0D0F124C"/>
    <w:rsid w:val="0F377374"/>
    <w:rsid w:val="181C088E"/>
    <w:rsid w:val="1B9973FE"/>
    <w:rsid w:val="1D000CC2"/>
    <w:rsid w:val="292B4769"/>
    <w:rsid w:val="3A6F0BDF"/>
    <w:rsid w:val="3B614BDD"/>
    <w:rsid w:val="45DA1BA0"/>
    <w:rsid w:val="550E5DD5"/>
    <w:rsid w:val="74E21DD7"/>
    <w:rsid w:val="7828351F"/>
    <w:rsid w:val="7A4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样式2 Char"/>
    <w:link w:val="13"/>
    <w:qFormat/>
    <w:uiPriority w:val="0"/>
    <w:rPr>
      <w:b/>
      <w:sz w:val="24"/>
    </w:rPr>
  </w:style>
  <w:style w:type="paragraph" w:customStyle="1" w:styleId="13">
    <w:name w:val="样式2"/>
    <w:basedOn w:val="2"/>
    <w:link w:val="12"/>
    <w:qFormat/>
    <w:uiPriority w:val="0"/>
    <w:rPr>
      <w:b/>
      <w:sz w:val="24"/>
    </w:rPr>
  </w:style>
  <w:style w:type="character" w:customStyle="1" w:styleId="14">
    <w:name w:val="样式1 Char"/>
    <w:link w:val="15"/>
    <w:qFormat/>
    <w:uiPriority w:val="0"/>
  </w:style>
  <w:style w:type="paragraph" w:customStyle="1" w:styleId="15">
    <w:name w:val="样式1"/>
    <w:basedOn w:val="2"/>
    <w:link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F3F04-E21A-4FED-9EFC-34F7CF073B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1929</Words>
  <Characters>2333</Characters>
  <Lines>129</Lines>
  <Paragraphs>14</Paragraphs>
  <TotalTime>15</TotalTime>
  <ScaleCrop>false</ScaleCrop>
  <LinksUpToDate>false</LinksUpToDate>
  <CharactersWithSpaces>3156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2020-11-16T06:20:00Z</cp:lastPrinted>
  <dcterms:modified xsi:type="dcterms:W3CDTF">2025-11-21T03:14:06Z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0EB394E635E14D6FB8C273038D022F0C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